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576D56" w:rsidP="005515E2">
      <w:pPr>
        <w:jc w:val="center"/>
        <w:rPr>
          <w:rFonts w:ascii="Arial" w:hAnsi="Arial" w:cs="Arial"/>
          <w:color w:val="000000"/>
        </w:rPr>
      </w:pPr>
      <w:r w:rsidRPr="00576D56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126365" w:rsidRDefault="005515E2" w:rsidP="007F5299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50675F">
              <w:rPr>
                <w:rFonts w:ascii="Arial" w:hAnsi="Arial" w:cs="Arial"/>
                <w:sz w:val="28"/>
                <w:szCs w:val="28"/>
              </w:rPr>
              <w:t>6/111</w:t>
            </w: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</w:t>
      </w:r>
      <w:r w:rsidR="00126365">
        <w:t xml:space="preserve">                   </w:t>
      </w:r>
      <w:r>
        <w:t xml:space="preserve">    </w:t>
      </w:r>
      <w:r w:rsidR="00126365">
        <w:t xml:space="preserve">      </w:t>
      </w:r>
      <w:r w:rsidR="00942207">
        <w:t xml:space="preserve">     </w:t>
      </w:r>
      <w:r w:rsidR="00126365">
        <w:t xml:space="preserve"> </w:t>
      </w:r>
      <w:r w:rsidR="004C56C9">
        <w:t xml:space="preserve">    </w:t>
      </w:r>
      <w:r>
        <w:sym w:font="Courier New" w:char="2510"/>
      </w:r>
    </w:p>
    <w:p w:rsidR="0050675F" w:rsidRPr="00851C6B" w:rsidRDefault="007F5299" w:rsidP="007F5299">
      <w:pPr>
        <w:ind w:left="284" w:right="5384"/>
        <w:jc w:val="both"/>
        <w:rPr>
          <w:i/>
        </w:rPr>
      </w:pPr>
      <w:r>
        <w:t xml:space="preserve"> </w:t>
      </w:r>
      <w:r w:rsidR="0050675F" w:rsidRPr="00851C6B">
        <w:t>О внесении изменени</w:t>
      </w:r>
      <w:r w:rsidR="0050675F">
        <w:t>й</w:t>
      </w:r>
      <w:r w:rsidR="0050675F" w:rsidRPr="00851C6B">
        <w:t xml:space="preserve"> в Положение «Об управлении экономического развития администрации города  Тулы», утвержденное решением Тульской городской Думы от 27.11.2013 </w:t>
      </w:r>
      <w:r w:rsidR="0050675F">
        <w:t xml:space="preserve"> </w:t>
      </w:r>
      <w:r w:rsidR="0050675F" w:rsidRPr="00851C6B">
        <w:t>№</w:t>
      </w:r>
      <w:r w:rsidR="0050675F">
        <w:t xml:space="preserve"> </w:t>
      </w:r>
      <w:r w:rsidR="0050675F" w:rsidRPr="00851C6B">
        <w:t>67/1537</w:t>
      </w:r>
    </w:p>
    <w:p w:rsidR="0050675F" w:rsidRDefault="0050675F" w:rsidP="0050675F"/>
    <w:p w:rsidR="0050675F" w:rsidRPr="00851C6B" w:rsidRDefault="0050675F" w:rsidP="0050675F">
      <w:pPr>
        <w:autoSpaceDE w:val="0"/>
        <w:autoSpaceDN w:val="0"/>
        <w:adjustRightInd w:val="0"/>
        <w:jc w:val="both"/>
        <w:outlineLvl w:val="0"/>
      </w:pPr>
      <w:r>
        <w:t xml:space="preserve">          В </w:t>
      </w:r>
      <w:r w:rsidRPr="00851C6B">
        <w:t xml:space="preserve"> соответствии с Федеральным закон</w:t>
      </w:r>
      <w:r>
        <w:t>о</w:t>
      </w:r>
      <w:r w:rsidRPr="00851C6B">
        <w:t>м от 06.10.2003 № 131-ФЗ «Об общих принципах организации местного самоупра</w:t>
      </w:r>
      <w:r>
        <w:t xml:space="preserve">вления в Российской Федерации», </w:t>
      </w:r>
      <w:r w:rsidRPr="00851C6B">
        <w:t>Уставом муниципального образования город Тула Тульская городская Дума</w:t>
      </w:r>
    </w:p>
    <w:p w:rsidR="0050675F" w:rsidRPr="00851C6B" w:rsidRDefault="0050675F" w:rsidP="0050675F">
      <w:pPr>
        <w:suppressAutoHyphens/>
        <w:ind w:firstLine="709"/>
        <w:jc w:val="both"/>
      </w:pPr>
    </w:p>
    <w:p w:rsidR="0050675F" w:rsidRPr="00851C6B" w:rsidRDefault="0050675F" w:rsidP="007F5299">
      <w:pPr>
        <w:suppressAutoHyphens/>
        <w:jc w:val="center"/>
      </w:pPr>
      <w:r w:rsidRPr="00851C6B">
        <w:t>Р Е Ш И Л А:</w:t>
      </w:r>
    </w:p>
    <w:p w:rsidR="0050675F" w:rsidRPr="00851C6B" w:rsidRDefault="0050675F" w:rsidP="0050675F">
      <w:pPr>
        <w:suppressAutoHyphens/>
        <w:ind w:firstLine="709"/>
        <w:jc w:val="center"/>
      </w:pP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851C6B">
        <w:t xml:space="preserve">1. </w:t>
      </w:r>
      <w:r w:rsidRPr="00ED1999">
        <w:t xml:space="preserve">Внести в </w:t>
      </w:r>
      <w:r>
        <w:t xml:space="preserve">Положение «Об управлении экономического развития администрации города    Тулы»,    утвержденное      решением     Тульской   городской Думы от 27.11.2013 </w:t>
      </w:r>
    </w:p>
    <w:p w:rsidR="0050675F" w:rsidRDefault="0050675F" w:rsidP="0050675F">
      <w:pPr>
        <w:widowControl w:val="0"/>
        <w:autoSpaceDE w:val="0"/>
        <w:autoSpaceDN w:val="0"/>
        <w:adjustRightInd w:val="0"/>
        <w:jc w:val="both"/>
      </w:pPr>
      <w:r>
        <w:t xml:space="preserve">№ 67/1537, </w:t>
      </w:r>
      <w:r w:rsidRPr="00ED1999">
        <w:t xml:space="preserve"> следующие изменения: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1.1. Пункт 2.1 дополнить подпунктом 2.1.5</w:t>
      </w:r>
      <w:r w:rsidRPr="005743AC">
        <w:rPr>
          <w:color w:val="000000"/>
        </w:rPr>
        <w:t xml:space="preserve"> следующего содержания: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43AC">
        <w:rPr>
          <w:color w:val="000000"/>
        </w:rPr>
        <w:t>«2.1.5. Создание условий для развития сельскохозяйственного производства, расширения рынка сельскохозяйственной прод</w:t>
      </w:r>
      <w:r>
        <w:rPr>
          <w:color w:val="000000"/>
        </w:rPr>
        <w:t>укции, сырья и продовольствия.».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43AC">
        <w:rPr>
          <w:color w:val="000000"/>
        </w:rPr>
        <w:t xml:space="preserve">1.2. Подпункт </w:t>
      </w:r>
      <w:r>
        <w:rPr>
          <w:color w:val="000000"/>
        </w:rPr>
        <w:t xml:space="preserve"> 2.2.3</w:t>
      </w:r>
      <w:r w:rsidRPr="005743AC">
        <w:rPr>
          <w:color w:val="000000"/>
        </w:rPr>
        <w:t xml:space="preserve"> дополнит</w:t>
      </w:r>
      <w:r>
        <w:rPr>
          <w:color w:val="000000"/>
        </w:rPr>
        <w:t xml:space="preserve">ь подпунктами </w:t>
      </w:r>
      <w:r w:rsidRPr="005743AC">
        <w:rPr>
          <w:color w:val="000000"/>
        </w:rPr>
        <w:t xml:space="preserve"> 2.2.3.11</w:t>
      </w:r>
      <w:r>
        <w:rPr>
          <w:color w:val="000000"/>
        </w:rPr>
        <w:t>-2.2.2.12</w:t>
      </w:r>
      <w:r w:rsidRPr="005743AC">
        <w:rPr>
          <w:color w:val="000000"/>
        </w:rPr>
        <w:t xml:space="preserve"> следующего содержания: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43AC">
        <w:rPr>
          <w:color w:val="000000"/>
        </w:rPr>
        <w:t xml:space="preserve"> </w:t>
      </w:r>
      <w:r>
        <w:rPr>
          <w:color w:val="000000"/>
        </w:rPr>
        <w:t>«</w:t>
      </w:r>
      <w:r w:rsidRPr="005743AC">
        <w:rPr>
          <w:color w:val="000000"/>
        </w:rPr>
        <w:t xml:space="preserve">2.2.3.11. Реализация комплекса мероприятий по </w:t>
      </w:r>
      <w:r>
        <w:rPr>
          <w:color w:val="000000"/>
        </w:rPr>
        <w:t>соблюдению требований схемы размещения нестационарных торговых объектов.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2.2.3.12. Осуществление муниципального контроля в области торговой деятельности.».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1.3. Подпункт 2.2.4 дополнить подпунктом 2.2.4.8 следующего содержания: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«2.2.4.8</w:t>
      </w:r>
      <w:r w:rsidRPr="007A0243">
        <w:rPr>
          <w:color w:val="000000"/>
        </w:rPr>
        <w:t>.</w:t>
      </w:r>
      <w:r w:rsidRPr="007A0243">
        <w:t xml:space="preserve"> О</w:t>
      </w:r>
      <w:r>
        <w:t>существление методического сопровождения и координации</w:t>
      </w:r>
      <w:r w:rsidRPr="007A0243">
        <w:t xml:space="preserve"> деятельности отраслевых (функциональных) и территориальных органов администрации города Тулы по проведению оценки регулирующего воздействия проектов муниципальных нормативных правовых актов </w:t>
      </w:r>
      <w:r>
        <w:t>органов местного самоуправления муниципального образования город</w:t>
      </w:r>
      <w:r w:rsidRPr="007A0243">
        <w:t xml:space="preserve"> Тул</w:t>
      </w:r>
      <w:r>
        <w:t>а</w:t>
      </w:r>
      <w:r w:rsidRPr="007A0243">
        <w:t>,  регулирующих правоотношения, участниками которых являются либо могут являться субъекты предпринимательской и инвестиционной деятельности</w:t>
      </w:r>
      <w:r>
        <w:t>.</w:t>
      </w:r>
      <w:r>
        <w:rPr>
          <w:color w:val="000000"/>
        </w:rPr>
        <w:t>».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1.4</w:t>
      </w:r>
      <w:r w:rsidRPr="005743AC">
        <w:rPr>
          <w:color w:val="000000"/>
        </w:rPr>
        <w:t xml:space="preserve">. </w:t>
      </w:r>
      <w:r>
        <w:rPr>
          <w:color w:val="000000"/>
        </w:rPr>
        <w:t>Пункт 2.2 дополнить п</w:t>
      </w:r>
      <w:r w:rsidRPr="005743AC">
        <w:rPr>
          <w:color w:val="000000"/>
        </w:rPr>
        <w:t>одпункт</w:t>
      </w:r>
      <w:r>
        <w:rPr>
          <w:color w:val="000000"/>
        </w:rPr>
        <w:t>ом 2.2.4-1</w:t>
      </w:r>
      <w:r w:rsidRPr="005743AC">
        <w:rPr>
          <w:color w:val="000000"/>
        </w:rPr>
        <w:t xml:space="preserve">  в следующей редакции:</w:t>
      </w:r>
    </w:p>
    <w:p w:rsidR="0050675F" w:rsidRPr="005743AC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«2.2.4-1</w:t>
      </w:r>
      <w:r w:rsidRPr="005743AC">
        <w:rPr>
          <w:color w:val="000000"/>
        </w:rPr>
        <w:t>. В области развития сельскохозяйственного производства: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2.2.4-1</w:t>
      </w:r>
      <w:r w:rsidRPr="005743AC">
        <w:rPr>
          <w:color w:val="000000"/>
        </w:rPr>
        <w:t>.1. Обеспечение политики в сфере  развития сельскохозяйственного производства, расширения рынка сельскохозяйственной продукции, сырья и продовольствия.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2.2.4-1.2. </w:t>
      </w:r>
      <w:r w:rsidRPr="00C80B0D">
        <w:rPr>
          <w:color w:val="000000"/>
        </w:rPr>
        <w:t>Проведение мониторинга финансово-хозяйственной деятельности  сельскохозяйственных предприятий, расположенных на территории муниципального образования город Тула.</w:t>
      </w: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2.2.4-1</w:t>
      </w:r>
      <w:r w:rsidRPr="005743AC">
        <w:rPr>
          <w:color w:val="000000"/>
        </w:rPr>
        <w:t>.3. Оказание методологической, консультационной и организационной помощи сельскохозяйственным предприятиям по вопросам, относящ</w:t>
      </w:r>
      <w:r>
        <w:rPr>
          <w:color w:val="000000"/>
        </w:rPr>
        <w:t>имся к компетенции управления.».</w:t>
      </w:r>
    </w:p>
    <w:p w:rsidR="007F5299" w:rsidRDefault="007F5299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F5299" w:rsidRDefault="007F5299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0675F" w:rsidRDefault="0050675F" w:rsidP="005067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1.5.  Пункт 3.1 дополнить подпунктом 3.1.7 следующего содержания:</w:t>
      </w:r>
    </w:p>
    <w:p w:rsidR="0050675F" w:rsidRDefault="0050675F" w:rsidP="005067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«3.1.7. П</w:t>
      </w:r>
      <w:r>
        <w:t>роводить в установленном порядке проверки (плановые и внеплановые) и мероприятия по контролю по вопросам соблюдения юридическими лицами, индивидуальными предпринимателями требований, установленных муниципальными нормативными правовыми актами в области торговой деятельности.».</w:t>
      </w:r>
    </w:p>
    <w:p w:rsidR="0050675F" w:rsidRPr="00851C6B" w:rsidRDefault="0050675F" w:rsidP="0050675F">
      <w:pPr>
        <w:autoSpaceDE w:val="0"/>
        <w:autoSpaceDN w:val="0"/>
        <w:adjustRightInd w:val="0"/>
        <w:ind w:firstLine="709"/>
        <w:jc w:val="both"/>
      </w:pPr>
      <w:r>
        <w:t>2</w:t>
      </w:r>
      <w:r w:rsidRPr="00851C6B">
        <w:t>. Опубликовать настоящее решение в общественно-политической  региональной газете «Тула» и разместить на официальных сайтах Тульской городской Думы и администрации г</w:t>
      </w:r>
      <w:r>
        <w:t xml:space="preserve">орода </w:t>
      </w:r>
      <w:r w:rsidRPr="00851C6B">
        <w:t xml:space="preserve">Тулы в </w:t>
      </w:r>
      <w:r>
        <w:t xml:space="preserve">информационно-телекоммуникационной </w:t>
      </w:r>
      <w:r w:rsidRPr="00851C6B">
        <w:t>сети Интернет.</w:t>
      </w:r>
    </w:p>
    <w:p w:rsidR="0050675F" w:rsidRPr="00851C6B" w:rsidRDefault="0050675F" w:rsidP="0050675F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851C6B">
        <w:t>. Решение вступает в силу с</w:t>
      </w:r>
      <w:r>
        <w:t xml:space="preserve"> 01.01.2015.</w:t>
      </w:r>
    </w:p>
    <w:p w:rsidR="0050675F" w:rsidRDefault="0050675F" w:rsidP="0050675F">
      <w:pPr>
        <w:pStyle w:val="3"/>
        <w:suppressAutoHyphens/>
        <w:ind w:firstLine="709"/>
        <w:jc w:val="both"/>
      </w:pPr>
    </w:p>
    <w:p w:rsidR="0050675F" w:rsidRPr="00CB540A" w:rsidRDefault="0050675F" w:rsidP="0050675F">
      <w:pPr>
        <w:ind w:firstLine="709"/>
      </w:pPr>
    </w:p>
    <w:p w:rsidR="0050675F" w:rsidRPr="00CB540A" w:rsidRDefault="0050675F" w:rsidP="0050675F">
      <w:pPr>
        <w:ind w:firstLine="709"/>
      </w:pPr>
    </w:p>
    <w:p w:rsidR="0050675F" w:rsidRPr="00CB540A" w:rsidRDefault="0050675F" w:rsidP="0050675F">
      <w:pPr>
        <w:ind w:firstLine="709"/>
      </w:pPr>
    </w:p>
    <w:p w:rsidR="0050675F" w:rsidRPr="00851C6B" w:rsidRDefault="0050675F" w:rsidP="0050675F">
      <w:pPr>
        <w:ind w:firstLine="709"/>
      </w:pPr>
    </w:p>
    <w:p w:rsidR="0050675F" w:rsidRPr="00851C6B" w:rsidRDefault="0050675F" w:rsidP="0050675F">
      <w:pPr>
        <w:pStyle w:val="3"/>
        <w:suppressAutoHyphens/>
        <w:ind w:left="567" w:firstLine="0"/>
        <w:jc w:val="both"/>
      </w:pPr>
      <w:r w:rsidRPr="00851C6B">
        <w:t xml:space="preserve">Глава муниципального </w:t>
      </w:r>
    </w:p>
    <w:p w:rsidR="0050675F" w:rsidRPr="00851C6B" w:rsidRDefault="0050675F" w:rsidP="0050675F">
      <w:pPr>
        <w:pStyle w:val="3"/>
        <w:suppressAutoHyphens/>
        <w:ind w:left="567" w:firstLine="0"/>
        <w:jc w:val="both"/>
      </w:pPr>
      <w:r w:rsidRPr="00851C6B">
        <w:t xml:space="preserve">образования город Тула                            </w:t>
      </w:r>
      <w:r>
        <w:t xml:space="preserve">         </w:t>
      </w:r>
      <w:r w:rsidRPr="00851C6B">
        <w:t xml:space="preserve">                    </w:t>
      </w:r>
      <w:r>
        <w:t xml:space="preserve">   </w:t>
      </w:r>
      <w:r w:rsidRPr="00851C6B">
        <w:t xml:space="preserve">       </w:t>
      </w:r>
      <w:r>
        <w:tab/>
        <w:t xml:space="preserve">         </w:t>
      </w:r>
      <w:r w:rsidRPr="00851C6B">
        <w:t xml:space="preserve">  </w:t>
      </w:r>
      <w:r>
        <w:t>Ю.И. Цкипури</w:t>
      </w:r>
    </w:p>
    <w:p w:rsidR="0050675F" w:rsidRPr="00851C6B" w:rsidRDefault="0050675F" w:rsidP="0050675F">
      <w:pPr>
        <w:ind w:left="567"/>
        <w:rPr>
          <w:b/>
        </w:rPr>
      </w:pPr>
    </w:p>
    <w:p w:rsidR="004C56C9" w:rsidRPr="003B5965" w:rsidRDefault="004C56C9" w:rsidP="0050675F">
      <w:pPr>
        <w:ind w:left="567"/>
        <w:jc w:val="both"/>
      </w:pPr>
    </w:p>
    <w:sectPr w:rsidR="004C56C9" w:rsidRPr="003B5965" w:rsidSect="00EB125C">
      <w:headerReference w:type="even" r:id="rId9"/>
      <w:headerReference w:type="default" r:id="rId10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02" w:rsidRDefault="00683802">
      <w:r>
        <w:separator/>
      </w:r>
    </w:p>
  </w:endnote>
  <w:endnote w:type="continuationSeparator" w:id="1">
    <w:p w:rsidR="00683802" w:rsidRDefault="0068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02" w:rsidRDefault="00683802">
      <w:r>
        <w:separator/>
      </w:r>
    </w:p>
  </w:footnote>
  <w:footnote w:type="continuationSeparator" w:id="1">
    <w:p w:rsidR="00683802" w:rsidRDefault="00683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576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1C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576D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1C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299">
      <w:rPr>
        <w:rStyle w:val="a7"/>
        <w:noProof/>
      </w:rPr>
      <w:t>2</w:t>
    </w:r>
    <w:r>
      <w:rPr>
        <w:rStyle w:val="a7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FB2A09"/>
    <w:multiLevelType w:val="multilevel"/>
    <w:tmpl w:val="F3BAC9F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311165"/>
    <w:multiLevelType w:val="multilevel"/>
    <w:tmpl w:val="43987E3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6365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F55"/>
    <w:rsid w:val="001610EF"/>
    <w:rsid w:val="00164B48"/>
    <w:rsid w:val="00167AE5"/>
    <w:rsid w:val="001700D0"/>
    <w:rsid w:val="001711C5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6B8B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C56C9"/>
    <w:rsid w:val="004D0C67"/>
    <w:rsid w:val="004D12E9"/>
    <w:rsid w:val="004D4237"/>
    <w:rsid w:val="004D6336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0675F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76D56"/>
    <w:rsid w:val="00580EBB"/>
    <w:rsid w:val="00590454"/>
    <w:rsid w:val="0059104E"/>
    <w:rsid w:val="005972A7"/>
    <w:rsid w:val="005A015E"/>
    <w:rsid w:val="005A05AE"/>
    <w:rsid w:val="005A15EE"/>
    <w:rsid w:val="005A47F7"/>
    <w:rsid w:val="005A49D6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2CED"/>
    <w:rsid w:val="00683802"/>
    <w:rsid w:val="00684756"/>
    <w:rsid w:val="006853F9"/>
    <w:rsid w:val="00692AA8"/>
    <w:rsid w:val="0069393C"/>
    <w:rsid w:val="00696C40"/>
    <w:rsid w:val="006A12AA"/>
    <w:rsid w:val="006A13F9"/>
    <w:rsid w:val="006A4DD2"/>
    <w:rsid w:val="006A63FC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A4C8A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29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220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46D6A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C7B15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aliases w:val="ВерхКолонтитул"/>
    <w:basedOn w:val="a"/>
    <w:link w:val="a6"/>
    <w:uiPriority w:val="99"/>
    <w:rsid w:val="00F575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8">
    <w:name w:val="Body Text"/>
    <w:basedOn w:val="a"/>
    <w:link w:val="a9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0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3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4">
    <w:name w:val="Emphasis"/>
    <w:basedOn w:val="a0"/>
    <w:qFormat/>
    <w:rsid w:val="00D92B50"/>
    <w:rPr>
      <w:i/>
      <w:iCs/>
    </w:rPr>
  </w:style>
  <w:style w:type="character" w:customStyle="1" w:styleId="ad">
    <w:name w:val="Название Знак"/>
    <w:basedOn w:val="a0"/>
    <w:link w:val="ac"/>
    <w:rsid w:val="004B335A"/>
    <w:rPr>
      <w:b/>
      <w:sz w:val="28"/>
    </w:rPr>
  </w:style>
  <w:style w:type="character" w:customStyle="1" w:styleId="af5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5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C56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A8F-8557-4DF5-A42E-D97E358D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2014-11-27T08:31:00Z</cp:lastPrinted>
  <dcterms:created xsi:type="dcterms:W3CDTF">2014-12-22T09:23:00Z</dcterms:created>
  <dcterms:modified xsi:type="dcterms:W3CDTF">2014-12-23T16:52:00Z</dcterms:modified>
</cp:coreProperties>
</file>